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   </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bookmarkStart w:colFirst="0" w:colLast="0" w:name="_heading=h.wtscrycivv7f" w:id="0"/>
      <w:bookmarkEnd w:id="0"/>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259" w:lineRule="auto"/>
        <w:rPr>
          <w:color w:val="000000"/>
          <w:sz w:val="22"/>
          <w:szCs w:val="22"/>
        </w:rPr>
      </w:pPr>
      <w:r w:rsidDel="00000000" w:rsidR="00000000" w:rsidRPr="00000000">
        <w:rPr>
          <w:color w:val="000000"/>
          <w:sz w:val="22"/>
          <w:szCs w:val="22"/>
          <w:rtl w:val="0"/>
        </w:rPr>
        <w:t xml:space="preserve">ROSAC0354ZPB</w:t>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Platforma Cotmeana</w:t>
      </w:r>
    </w:p>
    <w:p w:rsidR="00000000" w:rsidDel="00000000" w:rsidP="00000000" w:rsidRDefault="00000000" w:rsidRPr="00000000" w14:paraId="0000000A">
      <w:pPr>
        <w:spacing w:after="0" w:lineRule="auto"/>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p w:rsidR="00000000" w:rsidDel="00000000" w:rsidP="00000000" w:rsidRDefault="00000000" w:rsidRPr="00000000" w14:paraId="0000000F">
      <w:pPr>
        <w:spacing w:after="0" w:lineRule="auto"/>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spacing w:after="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rtl w:val="0"/>
                    </w:rPr>
                    <w:t xml:space="preserve">6</w:t>
                  </w:r>
                </w:p>
              </w:tc>
              <w:tc>
                <w:tcPr/>
                <w:p w:rsidR="00000000" w:rsidDel="00000000" w:rsidP="00000000" w:rsidRDefault="00000000" w:rsidRPr="00000000" w14:paraId="00000017">
                  <w:pPr>
                    <w:jc w:val="center"/>
                    <w:rPr/>
                  </w:pPr>
                  <w:r w:rsidDel="00000000" w:rsidR="00000000" w:rsidRPr="00000000">
                    <w:rPr>
                      <w:rtl w:val="0"/>
                    </w:rPr>
                    <w:t xml:space="preserve">0</w:t>
                  </w:r>
                </w:p>
              </w:tc>
              <w:tc>
                <w:tcPr/>
                <w:p w:rsidR="00000000" w:rsidDel="00000000" w:rsidP="00000000" w:rsidRDefault="00000000" w:rsidRPr="00000000" w14:paraId="00000018">
                  <w:pPr>
                    <w:jc w:val="center"/>
                    <w:rPr/>
                  </w:pPr>
                  <w:r w:rsidDel="00000000" w:rsidR="00000000" w:rsidRPr="00000000">
                    <w:rPr>
                      <w:rtl w:val="0"/>
                    </w:rPr>
                    <w:t xml:space="preserve">6</w:t>
                  </w:r>
                </w:p>
              </w:tc>
            </w:tr>
            <w:tr>
              <w:trPr>
                <w:cantSplit w:val="0"/>
                <w:tblHeader w:val="0"/>
              </w:trPr>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0">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1">
      <w:pPr>
        <w:spacing w:after="0" w:lineRule="auto"/>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5">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341,53</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2,72%</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59"/>
        <w:gridCol w:w="443"/>
        <w:gridCol w:w="5398"/>
        <w:tblGridChange w:id="0">
          <w:tblGrid>
            <w:gridCol w:w="3159"/>
            <w:gridCol w:w="443"/>
            <w:gridCol w:w="5398"/>
          </w:tblGrid>
        </w:tblGridChange>
      </w:tblGrid>
      <w:tr>
        <w:trPr>
          <w:cantSplit w:val="0"/>
          <w:tblHeader w:val="0"/>
        </w:trPr>
        <w:tc>
          <w:tcPr/>
          <w:p w:rsidR="00000000" w:rsidDel="00000000" w:rsidP="00000000" w:rsidRDefault="00000000" w:rsidRPr="00000000" w14:paraId="0000004E">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pPr>
            <w:r w:rsidDel="00000000" w:rsidR="00000000" w:rsidRPr="00000000">
              <w:rPr>
                <w:sz w:val="22"/>
                <w:szCs w:val="22"/>
                <w:rtl w:val="0"/>
              </w:rPr>
              <w:t xml:space="preserve">RO31, RO41</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Sud-Muntenia, Sud-Vest Oltenia</w:t>
            </w:r>
            <w:r w:rsidDel="00000000" w:rsidR="00000000" w:rsidRPr="00000000">
              <w:rPr>
                <w:rtl w:val="0"/>
              </w:rPr>
            </w:r>
          </w:p>
        </w:tc>
      </w:tr>
    </w:tbl>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bookmarkStart w:colFirst="0" w:colLast="0" w:name="_heading=h.bzgmzl4l2via" w:id="1"/>
      <w:bookmarkEnd w:id="1"/>
      <w:r w:rsidDel="00000000" w:rsidR="00000000" w:rsidRPr="00000000">
        <w:rPr>
          <w:color w:val="000000"/>
          <w:sz w:val="22"/>
          <w:szCs w:val="22"/>
          <w:rtl w:val="0"/>
        </w:rPr>
        <w:t xml:space="preserve">Argeș, Vâlcea</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9">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E">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341,53</w:t>
      </w: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bookmarkStart w:colFirst="0" w:colLast="0" w:name="_heading=h.ko17xrfssf8y" w:id="2"/>
      <w:bookmarkEnd w:id="2"/>
      <w:r w:rsidDel="00000000" w:rsidR="00000000" w:rsidRPr="00000000">
        <w:rPr>
          <w:color w:val="000000"/>
          <w:sz w:val="22"/>
          <w:szCs w:val="22"/>
          <w:rtl w:val="0"/>
        </w:rPr>
        <w:t xml:space="preserve">Ordonanța de urgență nr. 57 din 20 iunie 2007 privind regimul ariilor naturale protejate, conservarea habitatelor naturale, a florei și faunei sălbatice, cu modificările și completările ulterioare;</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1201/2016 privind aprobarea Planului de management şi a Regulamentului sitului Natura 2000 ROSCI0354 Platforma Cotmeana.</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000"/>
      </w:tblPr>
      <w:tblGrid>
        <w:gridCol w:w="4389"/>
        <w:gridCol w:w="4611"/>
        <w:tblGridChange w:id="0">
          <w:tblGrid>
            <w:gridCol w:w="4389"/>
            <w:gridCol w:w="4611"/>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jc w:val="both"/>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b w:val="1"/>
                <w:bCs w:val="1"/>
                <w:sz w:val="22"/>
                <w:szCs w:val="22"/>
              </w:rPr>
            </w:pPr>
            <w:r w:rsidDel="00000000" w:rsidR="00000000" w:rsidRPr="00000000">
              <w:rPr>
                <w:b w:val="1"/>
                <w:bCs w:val="1"/>
                <w:sz w:val="22"/>
                <w:szCs w:val="22"/>
                <w:rtl w:val="0"/>
              </w:rPr>
              <w:t xml:space="preserve">Habitate forestiere:</w:t>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 </w:t>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i w:val="1"/>
                <w:iCs w:val="1"/>
                <w:sz w:val="22"/>
                <w:szCs w:val="22"/>
                <w:rtl w:val="0"/>
              </w:rPr>
              <w:t xml:space="preserve">91Y0 Păduri dacice de stejar şi carpen </w:t>
            </w:r>
          </w:p>
          <w:p w:rsidR="00000000" w:rsidDel="00000000" w:rsidP="00000000" w:rsidRDefault="00000000" w:rsidRPr="00000000" w14:paraId="0000007F">
            <w:pPr>
              <w:spacing w:after="0" w:lineRule="auto"/>
              <w:jc w:val="both"/>
              <w:rPr>
                <w:i w:val="1"/>
                <w:iCs w:val="1"/>
              </w:rPr>
            </w:pPr>
            <w:r w:rsidDel="00000000" w:rsidR="00000000" w:rsidRPr="00000000">
              <w:rPr>
                <w:i w:val="1"/>
                <w:iCs w:val="1"/>
                <w:sz w:val="22"/>
                <w:szCs w:val="22"/>
                <w:rtl w:val="0"/>
              </w:rPr>
              <w:t xml:space="preserve">91M0 Păduri balcano-panonice de cer şi gorun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jc w:val="both"/>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3">
            <w:pPr>
              <w:spacing w:after="0" w:lineRule="auto"/>
              <w:jc w:val="both"/>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6908 Morimus asper funereus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jc w:val="both"/>
              <w:rPr>
                <w:sz w:val="22"/>
                <w:szCs w:val="22"/>
              </w:rPr>
            </w:pPr>
            <w:r w:rsidDel="00000000" w:rsidR="00000000" w:rsidRPr="00000000">
              <w:rPr>
                <w:sz w:val="22"/>
                <w:szCs w:val="22"/>
                <w:rtl w:val="0"/>
              </w:rPr>
              <w:t xml:space="preserve">Această ZPB reprezintă un mozaic forestier de o valoare ecologică majoră, datorită interferenței unice dintre făgetele de tip Asperulo-Fagetum, pădurile dacice de stejar cu carpen și cele balcano-panonice de cer și gorun. Coexistența acestor habitate forestiere calde și umbroase creează o diversitate structurală ideală pentru specii strict protejate. Situl funcționează ca un veritabil sanctuar pentru insectele saproxilice, adăpostind trei specii de coleoptere de interes comunitar: croitorul mare al stejarului, rădașca și croitorul cenușiu. Prezența lor simultană demonstrează existența unei păduri seculare cu un volum optim de lemn mort, esențial pentru dezvoltarea lor larvară. În plus, sub coronamentul dens care menține umiditatea solului, micile băltiri temporare oferă habitate curate de reproducere pentru izvorașul cu burta galbenă. În concluzie, valoarea sitului constă în rolul său de refugiu genetic stabil, ce garantează supraviețuirea unei entomofaune și herpetofaune forestiere rare la nivel european.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jc w:val="both"/>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8D">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F">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6">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7">
            <w:pPr>
              <w:jc w:val="both"/>
              <w:rPr>
                <w:i w:val="1"/>
                <w:iCs w:val="1"/>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8">
            <w:pPr>
              <w:jc w:val="both"/>
              <w:rPr>
                <w:i w:val="1"/>
                <w:i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A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xnaz7u6xjv1x" w:id="3"/>
      <w:bookmarkEnd w:id="3"/>
      <w:r w:rsidDel="00000000" w:rsidR="00000000" w:rsidRPr="00000000">
        <w:rPr>
          <w:color w:val="000000"/>
          <w:sz w:val="22"/>
          <w:szCs w:val="22"/>
          <w:rtl w:val="0"/>
        </w:rPr>
        <w:t xml:space="preserve">- Chirita C., Vlad I., Paunescu C., Patrascoiu  N., Rosu  C., Iancu I. 1977 - “Stațiuni forestiere”, Vol. II, Ed. Academiei R.S.R., București</w:t>
      </w:r>
    </w:p>
    <w:p w:rsidR="00000000" w:rsidDel="00000000" w:rsidP="00000000" w:rsidRDefault="00000000" w:rsidRPr="00000000" w14:paraId="000000A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sz w:val="22"/>
          <w:szCs w:val="22"/>
          <w:rtl w:val="0"/>
        </w:rPr>
        <w:t xml:space="preserve">- Doniţă, N., Ceianu, I., Purcelean, Ş., &amp; Beldie, A. 1977 - Ecologie forestieră (cu elemente de ecologie generală), Ed. Ceres </w:t>
      </w:r>
      <w:r w:rsidDel="00000000" w:rsidR="00000000" w:rsidRPr="00000000">
        <w:rPr>
          <w:rtl w:val="0"/>
        </w:rPr>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   </w:t>
      </w: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kvj90b8tjf9a" w:id="4"/>
      <w:bookmarkEnd w:id="4"/>
      <w:r w:rsidDel="00000000" w:rsidR="00000000" w:rsidRPr="00000000">
        <w:rPr>
          <w:color w:val="000000"/>
          <w:sz w:val="22"/>
          <w:szCs w:val="22"/>
          <w:rtl w:val="0"/>
        </w:rPr>
        <w:t xml:space="preserve">Consultări publice realizate: 4 noiembrie 2024 – Pitești , 11 noiembrie 2024 – Râmnicu Vâlcea. </w:t>
      </w:r>
    </w:p>
    <w:p w:rsidR="00000000" w:rsidDel="00000000" w:rsidP="00000000" w:rsidRDefault="00000000" w:rsidRPr="00000000" w14:paraId="000000B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16 decembrie 2025, cu participarea factorilor interesați relevanți din județul Vâlcea.</w:t>
      </w:r>
      <w:r w:rsidDel="00000000" w:rsidR="00000000" w:rsidRPr="00000000">
        <w:rPr>
          <w:rtl w:val="0"/>
        </w:rPr>
        <w:t xml:space="preserve"> </w:t>
      </w:r>
      <w:r w:rsidDel="00000000" w:rsidR="00000000" w:rsidRPr="00000000">
        <w:rPr>
          <w:color w:val="000000"/>
          <w:sz w:val="22"/>
          <w:szCs w:val="22"/>
          <w:rtl w:val="0"/>
        </w:rPr>
        <w:t xml:space="preserve">În data de 16 decembrie 2025, a avut loc intâlnire online cu participarea factorilor interesați relevanți din județul Argeș iar în perioada 28 - 29 ianuarie 2026  au avut loc consultări la Prefectura Argeș.</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jc w:val="center"/>
        <w:rPr/>
      </w:pPr>
      <w:r w:rsidDel="00000000" w:rsidR="00000000" w:rsidRPr="00000000">
        <w:rPr>
          <w:b w:val="1"/>
          <w:bCs w:val="1"/>
          <w:sz w:val="22"/>
          <w:szCs w:val="22"/>
          <w:rtl w:val="0"/>
        </w:rPr>
        <w:t xml:space="preserve">5. Harta Zonelor Prioritare pentru Biodiversitate   </w:t>
      </w:r>
      <w:r w:rsidDel="00000000" w:rsidR="00000000" w:rsidRPr="00000000">
        <w:rPr>
          <w:rtl w:val="0"/>
        </w:rPr>
      </w:r>
    </w:p>
    <w:p w:rsidR="00000000" w:rsidDel="00000000" w:rsidP="00000000" w:rsidRDefault="00000000" w:rsidRPr="00000000" w14:paraId="000000B8">
      <w:pPr>
        <w:spacing w:after="0" w:lineRule="auto"/>
        <w:rPr/>
      </w:pPr>
      <w:r w:rsidDel="00000000" w:rsidR="00000000" w:rsidRPr="00000000">
        <w:rPr>
          <w:rtl w:val="0"/>
        </w:rPr>
      </w:r>
    </w:p>
    <w:p w:rsidR="00000000" w:rsidDel="00000000" w:rsidP="00000000" w:rsidRDefault="00000000" w:rsidRPr="00000000" w14:paraId="000000B9">
      <w:pPr>
        <w:jc w:val="both"/>
        <w:rPr>
          <w:sz w:val="22"/>
          <w:szCs w:val="22"/>
        </w:rPr>
      </w:pPr>
      <w:bookmarkStart w:colFirst="0" w:colLast="0" w:name="_heading=h.ln6dvll1weiu" w:id="5"/>
      <w:bookmarkEnd w:id="5"/>
      <w:r w:rsidDel="00000000" w:rsidR="00000000" w:rsidRPr="00000000">
        <w:rPr>
          <w:sz w:val="22"/>
          <w:szCs w:val="22"/>
          <w:rtl w:val="0"/>
        </w:rPr>
        <w:t xml:space="preserve">Limitele Zonelor Prioritare pentru Biodiversitate    sunt disponibile pe website-ul MMAP, accesând link-ul: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BA">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ATo6sMEOYPc5G7uM+HZ/fdFRgA==">CgMxLjAyDmgud3RzY3J5Y2l2djdmMg5oLmJ6Z216bDRsMnZpYTIOaC5rbzE3eHJmc3NmOHkyDmgueG5hejd1NnhqdjF4Mg5oLmt2ajkwYjh0amY5YTIOaC5sbjZkdmxsMXdlaXU4AHIhMWZwRzJZVHRzS0RwU1lZa19BWUZiYWExWDZwYjhYQ0xL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